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FEEE" w14:textId="77777777" w:rsidR="002A0220" w:rsidRPr="00604C15" w:rsidRDefault="002A0220" w:rsidP="00604C15">
      <w:pPr>
        <w:pStyle w:val="NoSpacing"/>
        <w:spacing w:line="360" w:lineRule="auto"/>
        <w:rPr>
          <w:rFonts w:ascii="Calibri" w:hAnsi="Calibri" w:cs="Calibri"/>
        </w:rPr>
      </w:pPr>
    </w:p>
    <w:p w14:paraId="208BF563" w14:textId="4821ED54"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FD49C2">
        <w:rPr>
          <w:rFonts w:ascii="Calibri" w:hAnsi="Calibri" w:cs="Calibri"/>
          <w:b/>
        </w:rPr>
        <w:t>General Education Council Recommendations for SB24-164</w:t>
      </w:r>
    </w:p>
    <w:p w14:paraId="3451936F" w14:textId="77777777" w:rsidR="000134FF" w:rsidRPr="00604C15" w:rsidRDefault="000134FF" w:rsidP="00604C15">
      <w:pPr>
        <w:pStyle w:val="NoSpacing"/>
        <w:spacing w:line="360" w:lineRule="auto"/>
        <w:rPr>
          <w:rFonts w:ascii="Calibri" w:hAnsi="Calibri" w:cs="Calibri"/>
          <w:caps/>
          <w:sz w:val="24"/>
        </w:rPr>
      </w:pPr>
    </w:p>
    <w:p w14:paraId="3891D334" w14:textId="43294932"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FD49C2">
        <w:rPr>
          <w:rFonts w:ascii="Calibri" w:hAnsi="Calibri" w:cs="Calibri"/>
          <w:b/>
          <w:sz w:val="24"/>
        </w:rPr>
        <w:t>Brad Griffith, Senior Director of Academic Pathways</w:t>
      </w:r>
    </w:p>
    <w:p w14:paraId="4D604F7A" w14:textId="77777777" w:rsidR="000134FF" w:rsidRPr="00604C15" w:rsidRDefault="000134FF" w:rsidP="00604C15">
      <w:pPr>
        <w:pStyle w:val="NoSpacing"/>
        <w:spacing w:line="360" w:lineRule="auto"/>
        <w:rPr>
          <w:rFonts w:ascii="Calibri" w:hAnsi="Calibri" w:cs="Calibri"/>
          <w:b/>
          <w:sz w:val="24"/>
        </w:rPr>
      </w:pPr>
    </w:p>
    <w:p w14:paraId="02D5D025"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Summary</w:t>
      </w:r>
      <w:r w:rsidRPr="00604C15">
        <w:rPr>
          <w:rFonts w:ascii="Calibri" w:hAnsi="Calibri" w:cs="Calibri"/>
          <w:b/>
          <w:sz w:val="24"/>
        </w:rPr>
        <w:br/>
      </w:r>
    </w:p>
    <w:p w14:paraId="5F9EC03B" w14:textId="35BE2A4B" w:rsidR="00FB6494" w:rsidRPr="00604C15" w:rsidRDefault="00FD49C2" w:rsidP="00F21D78">
      <w:pPr>
        <w:pStyle w:val="NoSpacing"/>
        <w:spacing w:line="360" w:lineRule="auto"/>
        <w:jc w:val="both"/>
        <w:rPr>
          <w:rFonts w:ascii="Calibri" w:hAnsi="Calibri" w:cs="Calibri"/>
          <w:sz w:val="24"/>
        </w:rPr>
      </w:pPr>
      <w:r>
        <w:rPr>
          <w:rFonts w:ascii="Calibri" w:hAnsi="Calibri" w:cs="Calibri"/>
          <w:sz w:val="24"/>
        </w:rPr>
        <w:t>The Commission is being asked to review and potentially act on recommendations made by the General Education (GE) Council concerning the alignment, transferability, and credit application of general education courses in the statewide Guaranteed Transfer Pathway Matrix, as mandated by SB24-164. These recommendations aim to improve consistency across institutions, reduce credit loss for students, and fulfill statutory obligations beginning October 1, 2025.</w:t>
      </w:r>
    </w:p>
    <w:p w14:paraId="68417864" w14:textId="77777777" w:rsidR="00FB6494" w:rsidRPr="00604C15" w:rsidRDefault="00FB6494" w:rsidP="00604C15">
      <w:pPr>
        <w:pStyle w:val="NoSpacing"/>
        <w:spacing w:line="360" w:lineRule="auto"/>
        <w:rPr>
          <w:rFonts w:ascii="Calibri" w:hAnsi="Calibri" w:cs="Calibri"/>
          <w:sz w:val="24"/>
        </w:rPr>
      </w:pPr>
    </w:p>
    <w:p w14:paraId="32B486D2"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Background</w:t>
      </w:r>
    </w:p>
    <w:p w14:paraId="52A4EEBE" w14:textId="77777777" w:rsidR="00FB6494" w:rsidRPr="00604C15" w:rsidRDefault="00FB6494" w:rsidP="00604C15">
      <w:pPr>
        <w:pStyle w:val="NoSpacing"/>
        <w:spacing w:line="360" w:lineRule="auto"/>
        <w:rPr>
          <w:rFonts w:ascii="Calibri" w:hAnsi="Calibri" w:cs="Calibri"/>
          <w:b/>
          <w:sz w:val="24"/>
          <w:u w:val="single"/>
        </w:rPr>
      </w:pPr>
    </w:p>
    <w:p w14:paraId="1FAE1808" w14:textId="77777777" w:rsidR="00FD49C2" w:rsidRPr="00FD49C2" w:rsidRDefault="00FD49C2" w:rsidP="00F21D78">
      <w:pPr>
        <w:pStyle w:val="NoSpacing"/>
        <w:spacing w:line="360" w:lineRule="auto"/>
        <w:jc w:val="both"/>
        <w:rPr>
          <w:rFonts w:ascii="Calibri" w:hAnsi="Calibri" w:cs="Calibri"/>
          <w:sz w:val="24"/>
        </w:rPr>
      </w:pPr>
      <w:r w:rsidRPr="00FD49C2">
        <w:rPr>
          <w:rFonts w:ascii="Calibri" w:hAnsi="Calibri" w:cs="Calibri"/>
          <w:sz w:val="24"/>
        </w:rPr>
        <w:t>Senate Bill 24-164, signed into law on May 18, 2024, seeks to enhance transparency, accountability, and efficiency in Colorado’s postsecondary transfer system. A key component of the legislation is the strengthening of the Guaranteed Transfer Pathway Matrix and requiring annual review and oversight.</w:t>
      </w:r>
    </w:p>
    <w:p w14:paraId="74DCBF59" w14:textId="77777777" w:rsidR="00FD49C2" w:rsidRPr="00FD49C2" w:rsidRDefault="00FD49C2" w:rsidP="00F21D78">
      <w:pPr>
        <w:pStyle w:val="NoSpacing"/>
        <w:spacing w:line="360" w:lineRule="auto"/>
        <w:jc w:val="both"/>
        <w:rPr>
          <w:rFonts w:ascii="Calibri" w:hAnsi="Calibri" w:cs="Calibri"/>
          <w:sz w:val="24"/>
        </w:rPr>
      </w:pPr>
      <w:r w:rsidRPr="00FD49C2">
        <w:rPr>
          <w:rFonts w:ascii="Calibri" w:hAnsi="Calibri" w:cs="Calibri"/>
          <w:sz w:val="24"/>
        </w:rPr>
        <w:t>To implement this, the bill:</w:t>
      </w:r>
    </w:p>
    <w:p w14:paraId="53A5AE5F"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 xml:space="preserve">Expands the GE Council </w:t>
      </w:r>
      <w:proofErr w:type="gramStart"/>
      <w:r w:rsidRPr="00FD49C2">
        <w:rPr>
          <w:rFonts w:ascii="Calibri" w:hAnsi="Calibri" w:cs="Calibri"/>
          <w:sz w:val="24"/>
        </w:rPr>
        <w:t>to include</w:t>
      </w:r>
      <w:proofErr w:type="gramEnd"/>
      <w:r w:rsidRPr="00FD49C2">
        <w:rPr>
          <w:rFonts w:ascii="Calibri" w:hAnsi="Calibri" w:cs="Calibri"/>
          <w:sz w:val="24"/>
        </w:rPr>
        <w:t xml:space="preserve"> equal representation from two- and four-year institutions.</w:t>
      </w:r>
    </w:p>
    <w:p w14:paraId="161F41DD"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Directs the GE Council to perform annual reviews of the transfer matrix, beginning October 1, 2025.</w:t>
      </w:r>
    </w:p>
    <w:p w14:paraId="482E7C79"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t>Charges the Council with identifying areas of misalignment, including inconsistencies in credit hours, non-application of credits toward degree programs, and courses with the highest transfer volume.</w:t>
      </w:r>
    </w:p>
    <w:p w14:paraId="3A6A08D9" w14:textId="77777777" w:rsidR="00FD49C2" w:rsidRPr="00FD49C2" w:rsidRDefault="00FD49C2" w:rsidP="00F21D78">
      <w:pPr>
        <w:pStyle w:val="NoSpacing"/>
        <w:numPr>
          <w:ilvl w:val="0"/>
          <w:numId w:val="48"/>
        </w:numPr>
        <w:spacing w:line="360" w:lineRule="auto"/>
        <w:jc w:val="both"/>
        <w:rPr>
          <w:rFonts w:ascii="Calibri" w:hAnsi="Calibri" w:cs="Calibri"/>
          <w:sz w:val="24"/>
        </w:rPr>
      </w:pPr>
      <w:r w:rsidRPr="00FD49C2">
        <w:rPr>
          <w:rFonts w:ascii="Calibri" w:hAnsi="Calibri" w:cs="Calibri"/>
          <w:sz w:val="24"/>
        </w:rPr>
        <w:lastRenderedPageBreak/>
        <w:t>Requires the GE Council to submit recommendations to CCHE for potential action based on its findings.</w:t>
      </w:r>
    </w:p>
    <w:p w14:paraId="58490D26" w14:textId="77777777" w:rsidR="00FB6494" w:rsidRPr="00604C15" w:rsidRDefault="00FB6494" w:rsidP="00604C15">
      <w:pPr>
        <w:pStyle w:val="NoSpacing"/>
        <w:spacing w:line="360" w:lineRule="auto"/>
        <w:rPr>
          <w:rFonts w:ascii="Calibri" w:hAnsi="Calibri" w:cs="Calibri"/>
          <w:b/>
          <w:sz w:val="24"/>
          <w:u w:val="single"/>
        </w:rPr>
      </w:pPr>
    </w:p>
    <w:p w14:paraId="058A5535"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Analysis</w:t>
      </w:r>
    </w:p>
    <w:p w14:paraId="26F38309" w14:textId="77777777" w:rsidR="00FB6494" w:rsidRPr="00604C15" w:rsidRDefault="00FB6494" w:rsidP="00604C15">
      <w:pPr>
        <w:pStyle w:val="NoSpacing"/>
        <w:spacing w:line="360" w:lineRule="auto"/>
        <w:rPr>
          <w:rFonts w:ascii="Calibri" w:hAnsi="Calibri" w:cs="Calibri"/>
          <w:b/>
          <w:sz w:val="24"/>
          <w:u w:val="single"/>
        </w:rPr>
      </w:pPr>
    </w:p>
    <w:p w14:paraId="05D42E85" w14:textId="77777777" w:rsidR="00FD49C2" w:rsidRPr="00FD49C2" w:rsidRDefault="00FD49C2" w:rsidP="00F21D78">
      <w:pPr>
        <w:pStyle w:val="NoSpacing"/>
        <w:spacing w:line="360" w:lineRule="auto"/>
        <w:jc w:val="both"/>
        <w:rPr>
          <w:rFonts w:ascii="Calibri" w:hAnsi="Calibri" w:cs="Calibri"/>
          <w:sz w:val="24"/>
        </w:rPr>
      </w:pPr>
      <w:r w:rsidRPr="00FD49C2">
        <w:rPr>
          <w:rFonts w:ascii="Calibri" w:hAnsi="Calibri" w:cs="Calibri"/>
          <w:sz w:val="24"/>
        </w:rPr>
        <w:t>The staff recognizes that:</w:t>
      </w:r>
    </w:p>
    <w:p w14:paraId="380947E8"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The GE Council plays a critical technical advisory role and has now been given enhanced responsibilities under law.</w:t>
      </w:r>
    </w:p>
    <w:p w14:paraId="571873D5"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CCHE is not required to adopt all recommendations from the GE Council but must review them with respect to policy and matrix modifications.</w:t>
      </w:r>
    </w:p>
    <w:p w14:paraId="6020A970"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By responding to Council recommendations, the Commission can ensure statewide alignment of general education courses, reduce time-to-degree for transfer students, and comply with statutory mandates for transparency and student rights.</w:t>
      </w:r>
    </w:p>
    <w:p w14:paraId="60111F94" w14:textId="77777777" w:rsidR="00FD49C2" w:rsidRPr="00FD49C2" w:rsidRDefault="00FD49C2" w:rsidP="00F21D78">
      <w:pPr>
        <w:pStyle w:val="NoSpacing"/>
        <w:numPr>
          <w:ilvl w:val="0"/>
          <w:numId w:val="49"/>
        </w:numPr>
        <w:spacing w:line="360" w:lineRule="auto"/>
        <w:jc w:val="both"/>
        <w:rPr>
          <w:rFonts w:ascii="Calibri" w:hAnsi="Calibri" w:cs="Calibri"/>
          <w:sz w:val="24"/>
        </w:rPr>
      </w:pPr>
      <w:r w:rsidRPr="00FD49C2">
        <w:rPr>
          <w:rFonts w:ascii="Calibri" w:hAnsi="Calibri" w:cs="Calibri"/>
          <w:sz w:val="24"/>
        </w:rPr>
        <w:t>A structured timeline and reporting mechanism between the GE Council, Department staff, and the Commission will be essential to ensure smooth implementation by the October 2025 deadline and beyond.</w:t>
      </w:r>
    </w:p>
    <w:p w14:paraId="2061B7A3" w14:textId="77777777" w:rsidR="00FB6494" w:rsidRPr="00604C15" w:rsidRDefault="00FB6494" w:rsidP="00604C15">
      <w:pPr>
        <w:pStyle w:val="NoSpacing"/>
        <w:spacing w:line="360" w:lineRule="auto"/>
        <w:rPr>
          <w:rFonts w:ascii="Calibri" w:hAnsi="Calibri" w:cs="Calibri"/>
          <w:sz w:val="24"/>
        </w:rPr>
      </w:pPr>
    </w:p>
    <w:p w14:paraId="5FCEA8F4" w14:textId="77777777" w:rsidR="00FB6494" w:rsidRPr="00604C15" w:rsidRDefault="001E4EB6" w:rsidP="00604C15">
      <w:pPr>
        <w:pStyle w:val="NoSpacing"/>
        <w:numPr>
          <w:ilvl w:val="0"/>
          <w:numId w:val="47"/>
        </w:numPr>
        <w:spacing w:line="360" w:lineRule="auto"/>
        <w:ind w:left="540" w:hanging="540"/>
        <w:rPr>
          <w:rFonts w:ascii="Calibri" w:hAnsi="Calibri" w:cs="Calibri"/>
          <w:b/>
          <w:sz w:val="24"/>
        </w:rPr>
      </w:pPr>
      <w:r w:rsidRPr="00604C15">
        <w:rPr>
          <w:rFonts w:ascii="Calibri" w:hAnsi="Calibri" w:cs="Calibri"/>
          <w:b/>
          <w:sz w:val="24"/>
        </w:rPr>
        <w:t>Staff Recommendations</w:t>
      </w:r>
    </w:p>
    <w:p w14:paraId="16347016" w14:textId="77777777" w:rsidR="00FB6494" w:rsidRPr="00604C15" w:rsidRDefault="00FB6494" w:rsidP="00604C15">
      <w:pPr>
        <w:pStyle w:val="NoSpacing"/>
        <w:spacing w:line="360" w:lineRule="auto"/>
        <w:rPr>
          <w:rFonts w:ascii="Calibri" w:hAnsi="Calibri" w:cs="Calibri"/>
          <w:b/>
          <w:sz w:val="24"/>
          <w:u w:val="single"/>
        </w:rPr>
      </w:pPr>
    </w:p>
    <w:p w14:paraId="057F01F3" w14:textId="558CB824" w:rsidR="00FB6494" w:rsidRPr="00FD49C2" w:rsidRDefault="00FD49C2" w:rsidP="00F21D78">
      <w:pPr>
        <w:pStyle w:val="NoSpacing"/>
        <w:spacing w:line="360" w:lineRule="auto"/>
        <w:rPr>
          <w:rFonts w:ascii="Calibri" w:hAnsi="Calibri" w:cs="Calibri"/>
          <w:b/>
          <w:bCs/>
          <w:sz w:val="24"/>
        </w:rPr>
      </w:pPr>
      <w:r w:rsidRPr="00FD49C2">
        <w:rPr>
          <w:rFonts w:ascii="Calibri" w:hAnsi="Calibri" w:cs="Calibri"/>
          <w:b/>
          <w:bCs/>
          <w:sz w:val="24"/>
        </w:rPr>
        <w:t>Staff recommends that the Commission accept the statutory charge to review and act, as appropriate, on recommendations provided annually by the General Education Council beginning in October 2025, and direct Department staff to prepare a formal mechanism for this annual</w:t>
      </w:r>
      <w:r w:rsidR="00F21D78">
        <w:rPr>
          <w:rFonts w:ascii="Calibri" w:hAnsi="Calibri" w:cs="Calibri"/>
          <w:b/>
          <w:bCs/>
          <w:sz w:val="24"/>
        </w:rPr>
        <w:t xml:space="preserve"> </w:t>
      </w:r>
      <w:r w:rsidRPr="00FD49C2">
        <w:rPr>
          <w:rFonts w:ascii="Calibri" w:hAnsi="Calibri" w:cs="Calibri"/>
          <w:b/>
          <w:bCs/>
          <w:sz w:val="24"/>
        </w:rPr>
        <w:t>review process.</w:t>
      </w:r>
      <w:r w:rsidRPr="00FD49C2">
        <w:rPr>
          <w:rFonts w:ascii="Calibri" w:hAnsi="Calibri" w:cs="Calibri"/>
          <w:b/>
          <w:bCs/>
          <w:sz w:val="24"/>
        </w:rPr>
        <w:br/>
      </w:r>
    </w:p>
    <w:p w14:paraId="747A8996" w14:textId="77777777" w:rsidR="00FB6494" w:rsidRPr="001E4EB6" w:rsidRDefault="001E4EB6" w:rsidP="00604C15">
      <w:pPr>
        <w:pStyle w:val="NoSpacing"/>
        <w:numPr>
          <w:ilvl w:val="0"/>
          <w:numId w:val="47"/>
        </w:numPr>
        <w:spacing w:line="360" w:lineRule="auto"/>
        <w:ind w:left="540" w:hanging="540"/>
        <w:rPr>
          <w:rFonts w:ascii="Calibri" w:hAnsi="Calibri" w:cs="Calibri"/>
          <w:b/>
          <w:sz w:val="24"/>
        </w:rPr>
      </w:pPr>
      <w:r w:rsidRPr="001E4EB6">
        <w:rPr>
          <w:rFonts w:ascii="Calibri" w:hAnsi="Calibri" w:cs="Calibri"/>
          <w:b/>
          <w:sz w:val="24"/>
        </w:rPr>
        <w:t>Statutory Authority</w:t>
      </w:r>
    </w:p>
    <w:p w14:paraId="1BFD362E" w14:textId="77777777" w:rsidR="00FB6494" w:rsidRPr="00604C15" w:rsidRDefault="00FB6494" w:rsidP="00604C15">
      <w:pPr>
        <w:pStyle w:val="NoSpacing"/>
        <w:spacing w:line="360" w:lineRule="auto"/>
        <w:rPr>
          <w:rFonts w:ascii="Calibri" w:hAnsi="Calibri" w:cs="Calibri"/>
          <w:b/>
          <w:sz w:val="24"/>
          <w:u w:val="single"/>
        </w:rPr>
      </w:pPr>
    </w:p>
    <w:p w14:paraId="65482A53" w14:textId="77777777" w:rsidR="00F21D78" w:rsidRDefault="00F21D78">
      <w:pPr>
        <w:rPr>
          <w:rFonts w:ascii="Calibri" w:hAnsi="Calibri" w:cs="Calibri"/>
          <w:b/>
          <w:bCs/>
          <w:sz w:val="24"/>
        </w:rPr>
      </w:pPr>
      <w:r>
        <w:rPr>
          <w:rFonts w:ascii="Calibri" w:hAnsi="Calibri" w:cs="Calibri"/>
          <w:b/>
          <w:bCs/>
          <w:sz w:val="24"/>
        </w:rPr>
        <w:br w:type="page"/>
      </w:r>
    </w:p>
    <w:p w14:paraId="0C9BBC59" w14:textId="76603E6F" w:rsidR="00FD49C2" w:rsidRPr="00FD49C2" w:rsidRDefault="00FD49C2" w:rsidP="00F21D78">
      <w:pPr>
        <w:pStyle w:val="NoSpacing"/>
        <w:spacing w:line="360" w:lineRule="auto"/>
        <w:rPr>
          <w:rFonts w:ascii="Calibri" w:hAnsi="Calibri" w:cs="Calibri"/>
          <w:sz w:val="24"/>
        </w:rPr>
      </w:pPr>
      <w:r w:rsidRPr="00FD49C2">
        <w:rPr>
          <w:rFonts w:ascii="Calibri" w:hAnsi="Calibri" w:cs="Calibri"/>
          <w:b/>
          <w:bCs/>
          <w:sz w:val="24"/>
        </w:rPr>
        <w:lastRenderedPageBreak/>
        <w:t>C.R.S. 23-1-108.5(</w:t>
      </w:r>
      <w:proofErr w:type="gramStart"/>
      <w:r w:rsidRPr="00FD49C2">
        <w:rPr>
          <w:rFonts w:ascii="Calibri" w:hAnsi="Calibri" w:cs="Calibri"/>
          <w:b/>
          <w:bCs/>
          <w:sz w:val="24"/>
        </w:rPr>
        <w:t>3)(</w:t>
      </w:r>
      <w:proofErr w:type="gramEnd"/>
      <w:r w:rsidRPr="00FD49C2">
        <w:rPr>
          <w:rFonts w:ascii="Calibri" w:hAnsi="Calibri" w:cs="Calibri"/>
          <w:b/>
          <w:bCs/>
          <w:sz w:val="24"/>
        </w:rPr>
        <w:t>b.5)</w:t>
      </w:r>
    </w:p>
    <w:p w14:paraId="4D9554E8" w14:textId="77777777" w:rsidR="00FD49C2" w:rsidRPr="00FD49C2" w:rsidRDefault="00FD49C2" w:rsidP="00F21D78">
      <w:pPr>
        <w:pStyle w:val="NoSpacing"/>
        <w:spacing w:line="360" w:lineRule="auto"/>
        <w:rPr>
          <w:rFonts w:ascii="Calibri" w:hAnsi="Calibri" w:cs="Calibri"/>
          <w:sz w:val="24"/>
        </w:rPr>
      </w:pPr>
      <w:r w:rsidRPr="00FD49C2">
        <w:rPr>
          <w:rFonts w:ascii="Calibri" w:hAnsi="Calibri" w:cs="Calibri"/>
          <w:sz w:val="24"/>
        </w:rPr>
        <w:t>“(b.5) No later than October 1, 2025, and on or before October 1 of each year thereafter, the general education council shall review the guaranteed transfer pathway general education curriculum course review matrix and make recommendations to the commission to address:</w:t>
      </w:r>
      <w:r w:rsidRPr="00FD49C2">
        <w:rPr>
          <w:rFonts w:ascii="Calibri" w:hAnsi="Calibri" w:cs="Calibri"/>
          <w:sz w:val="24"/>
        </w:rPr>
        <w:br/>
        <w:t>(I) The courses with the highest transfer enrollment and volume;</w:t>
      </w:r>
      <w:r w:rsidRPr="00FD49C2">
        <w:rPr>
          <w:rFonts w:ascii="Calibri" w:hAnsi="Calibri" w:cs="Calibri"/>
          <w:sz w:val="24"/>
        </w:rPr>
        <w:br/>
        <w:t>(II) The courses with the highest frequency of receiving full credit acceptance but not having the credit applied toward a program of study; and</w:t>
      </w:r>
      <w:r w:rsidRPr="00FD49C2">
        <w:rPr>
          <w:rFonts w:ascii="Calibri" w:hAnsi="Calibri" w:cs="Calibri"/>
          <w:sz w:val="24"/>
        </w:rPr>
        <w:br/>
        <w:t xml:space="preserve">(III) The courses with the highest rates of misalignment in credit hours across institutions. The department shall ensure equal representation on the general education council from all state institutions of higher </w:t>
      </w:r>
      <w:proofErr w:type="gramStart"/>
      <w:r w:rsidRPr="00FD49C2">
        <w:rPr>
          <w:rFonts w:ascii="Calibri" w:hAnsi="Calibri" w:cs="Calibri"/>
          <w:sz w:val="24"/>
        </w:rPr>
        <w:t>education.”</w:t>
      </w:r>
      <w:proofErr w:type="gramEnd"/>
    </w:p>
    <w:p w14:paraId="12917185" w14:textId="77777777" w:rsidR="00FB6494" w:rsidRPr="00604C15" w:rsidRDefault="00FB6494" w:rsidP="00604C15">
      <w:pPr>
        <w:pStyle w:val="NoSpacing"/>
        <w:spacing w:line="360" w:lineRule="auto"/>
        <w:ind w:left="720"/>
        <w:rPr>
          <w:rFonts w:ascii="Calibri" w:hAnsi="Calibri" w:cs="Calibri"/>
          <w:b/>
          <w:sz w:val="24"/>
          <w:u w:val="single"/>
        </w:rPr>
      </w:pPr>
    </w:p>
    <w:p w14:paraId="0A7E6AE5" w14:textId="1DE7268B" w:rsidR="4624205C" w:rsidRDefault="00A621CA" w:rsidP="4E6C4679">
      <w:pPr>
        <w:pStyle w:val="NoSpacing"/>
        <w:spacing w:line="360" w:lineRule="auto"/>
        <w:rPr>
          <w:rFonts w:ascii="Calibri" w:hAnsi="Calibri" w:cs="Calibri"/>
          <w:b/>
          <w:bCs/>
          <w:sz w:val="24"/>
        </w:rPr>
      </w:pPr>
      <w:r w:rsidRPr="4E6C4679">
        <w:rPr>
          <w:rFonts w:ascii="Calibri" w:hAnsi="Calibri" w:cs="Calibri"/>
          <w:b/>
          <w:bCs/>
          <w:sz w:val="24"/>
        </w:rPr>
        <w:t>A</w:t>
      </w:r>
      <w:r w:rsidR="001E4EB6" w:rsidRPr="4E6C4679">
        <w:rPr>
          <w:rFonts w:ascii="Calibri" w:hAnsi="Calibri" w:cs="Calibri"/>
          <w:b/>
          <w:bCs/>
          <w:sz w:val="24"/>
        </w:rPr>
        <w:t xml:space="preserve">ttachment(s): </w:t>
      </w:r>
      <w:r w:rsidR="002311E0">
        <w:rPr>
          <w:rFonts w:ascii="Calibri" w:hAnsi="Calibri" w:cs="Calibri"/>
          <w:b/>
          <w:bCs/>
          <w:sz w:val="24"/>
        </w:rPr>
        <w:t xml:space="preserve">2025-09 </w:t>
      </w:r>
      <w:r w:rsidR="00F21D78">
        <w:rPr>
          <w:rFonts w:ascii="Calibri" w:hAnsi="Calibri" w:cs="Calibri"/>
          <w:b/>
          <w:bCs/>
          <w:sz w:val="24"/>
        </w:rPr>
        <w:t>GE</w:t>
      </w:r>
      <w:r w:rsidR="4624205C" w:rsidRPr="4E6C4679">
        <w:rPr>
          <w:rFonts w:ascii="Calibri" w:hAnsi="Calibri" w:cs="Calibri"/>
          <w:b/>
          <w:bCs/>
          <w:sz w:val="24"/>
        </w:rPr>
        <w:t xml:space="preserve"> Council Report for SB24-164</w:t>
      </w:r>
      <w:r w:rsidR="00F21D78">
        <w:rPr>
          <w:rFonts w:ascii="Calibri" w:hAnsi="Calibri" w:cs="Calibri"/>
          <w:b/>
          <w:bCs/>
          <w:sz w:val="24"/>
        </w:rPr>
        <w:t>.docx</w:t>
      </w:r>
    </w:p>
    <w:sectPr w:rsidR="4624205C" w:rsidSect="00D15902">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9D67" w14:textId="77777777" w:rsidR="00C018CF" w:rsidRDefault="00C018CF">
      <w:r>
        <w:separator/>
      </w:r>
    </w:p>
  </w:endnote>
  <w:endnote w:type="continuationSeparator" w:id="0">
    <w:p w14:paraId="6160F3A3" w14:textId="77777777" w:rsidR="00C018CF" w:rsidRDefault="00C0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309520" w14:paraId="12004B7A" w14:textId="77777777" w:rsidTr="52309520">
      <w:trPr>
        <w:trHeight w:val="300"/>
      </w:trPr>
      <w:tc>
        <w:tcPr>
          <w:tcW w:w="3120" w:type="dxa"/>
        </w:tcPr>
        <w:p w14:paraId="4E8D73A0" w14:textId="41BCE63A" w:rsidR="52309520" w:rsidRDefault="52309520" w:rsidP="52309520">
          <w:pPr>
            <w:pStyle w:val="Header"/>
            <w:ind w:left="-115"/>
          </w:pPr>
        </w:p>
      </w:tc>
      <w:tc>
        <w:tcPr>
          <w:tcW w:w="3120" w:type="dxa"/>
        </w:tcPr>
        <w:p w14:paraId="61ADE748" w14:textId="45ABA441" w:rsidR="52309520" w:rsidRDefault="52309520" w:rsidP="52309520">
          <w:pPr>
            <w:pStyle w:val="Header"/>
            <w:jc w:val="center"/>
          </w:pPr>
        </w:p>
      </w:tc>
      <w:tc>
        <w:tcPr>
          <w:tcW w:w="3120" w:type="dxa"/>
        </w:tcPr>
        <w:p w14:paraId="49EA6333" w14:textId="213AE5FC" w:rsidR="52309520" w:rsidRDefault="52309520" w:rsidP="52309520">
          <w:pPr>
            <w:pStyle w:val="Header"/>
            <w:ind w:right="-115"/>
            <w:jc w:val="right"/>
          </w:pPr>
        </w:p>
      </w:tc>
    </w:tr>
  </w:tbl>
  <w:p w14:paraId="79DA12B7" w14:textId="5466FF5D" w:rsidR="52309520" w:rsidRDefault="52309520" w:rsidP="52309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51C8A" w14:textId="77777777" w:rsidR="00C018CF" w:rsidRDefault="00C018CF">
      <w:r>
        <w:separator/>
      </w:r>
    </w:p>
  </w:footnote>
  <w:footnote w:type="continuationSeparator" w:id="0">
    <w:p w14:paraId="0775C6BB" w14:textId="77777777" w:rsidR="00C018CF" w:rsidRDefault="00C0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8"/>
      <w:gridCol w:w="3282"/>
    </w:tblGrid>
    <w:tr w:rsidR="006E09E9" w:rsidRPr="00604C15" w14:paraId="7389DFE6" w14:textId="77777777" w:rsidTr="52309520">
      <w:tc>
        <w:tcPr>
          <w:tcW w:w="6228" w:type="dxa"/>
        </w:tcPr>
        <w:p w14:paraId="6E690888" w14:textId="77777777" w:rsidR="006E09E9" w:rsidRPr="00604C15" w:rsidRDefault="52309520" w:rsidP="006E09E9">
          <w:pPr>
            <w:pStyle w:val="Header"/>
            <w:tabs>
              <w:tab w:val="clear" w:pos="8640"/>
              <w:tab w:val="right" w:pos="9360"/>
            </w:tabs>
            <w:rPr>
              <w:rFonts w:ascii="Calibri" w:hAnsi="Calibri" w:cs="Calibri"/>
              <w:sz w:val="24"/>
            </w:rPr>
          </w:pPr>
          <w:r w:rsidRPr="52309520">
            <w:rPr>
              <w:rFonts w:ascii="Calibri" w:hAnsi="Calibri" w:cs="Calibri"/>
              <w:sz w:val="24"/>
            </w:rPr>
            <w:t>Colorado Commission on Higher Education</w:t>
          </w:r>
          <w:r w:rsidR="006E09E9">
            <w:tab/>
          </w:r>
          <w:r w:rsidRPr="52309520">
            <w:rPr>
              <w:rFonts w:ascii="Calibri" w:hAnsi="Calibri" w:cs="Calibri"/>
              <w:sz w:val="24"/>
            </w:rPr>
            <w:t xml:space="preserve"> (CCHE)</w:t>
          </w:r>
        </w:p>
        <w:p w14:paraId="4E794BEE" w14:textId="1981351C" w:rsidR="006E09E9" w:rsidRPr="00604C15" w:rsidRDefault="52309520" w:rsidP="52309520">
          <w:pPr>
            <w:pStyle w:val="Header"/>
            <w:tabs>
              <w:tab w:val="clear" w:pos="8640"/>
              <w:tab w:val="left" w:pos="4320"/>
            </w:tabs>
            <w:spacing w:line="259" w:lineRule="auto"/>
          </w:pPr>
          <w:r w:rsidRPr="52309520">
            <w:rPr>
              <w:rFonts w:ascii="Calibri" w:hAnsi="Calibri" w:cs="Calibri"/>
              <w:sz w:val="24"/>
            </w:rPr>
            <w:t>September 4, 2025</w:t>
          </w:r>
        </w:p>
      </w:tc>
      <w:tc>
        <w:tcPr>
          <w:tcW w:w="3348" w:type="dxa"/>
        </w:tcPr>
        <w:p w14:paraId="1E62D37D"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05816B6"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5E6C15B6" w14:textId="1D1D13B7" w:rsidR="006E09E9" w:rsidRPr="00604C15" w:rsidRDefault="52309520" w:rsidP="52309520">
          <w:pPr>
            <w:pStyle w:val="Header"/>
            <w:tabs>
              <w:tab w:val="clear" w:pos="8640"/>
              <w:tab w:val="right" w:pos="9360"/>
            </w:tabs>
            <w:jc w:val="right"/>
            <w:rPr>
              <w:rStyle w:val="PageNumber"/>
              <w:rFonts w:ascii="Calibri" w:hAnsi="Calibri" w:cs="Calibri"/>
              <w:sz w:val="24"/>
              <w:u w:val="single"/>
            </w:rPr>
          </w:pPr>
          <w:r w:rsidRPr="52309520">
            <w:rPr>
              <w:rStyle w:val="PageNumber"/>
              <w:rFonts w:ascii="Calibri" w:hAnsi="Calibri" w:cs="Calibri"/>
              <w:sz w:val="24"/>
              <w:u w:val="single"/>
            </w:rPr>
            <w:t>Discussion Item</w:t>
          </w:r>
        </w:p>
      </w:tc>
    </w:tr>
  </w:tbl>
  <w:p w14:paraId="0B5F7345"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324F4E"/>
    <w:multiLevelType w:val="multilevel"/>
    <w:tmpl w:val="74D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3624E"/>
    <w:multiLevelType w:val="multilevel"/>
    <w:tmpl w:val="4A1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41"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6"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99088">
    <w:abstractNumId w:val="34"/>
  </w:num>
  <w:num w:numId="2" w16cid:durableId="1044864083">
    <w:abstractNumId w:val="6"/>
  </w:num>
  <w:num w:numId="3" w16cid:durableId="551500131">
    <w:abstractNumId w:val="25"/>
  </w:num>
  <w:num w:numId="4" w16cid:durableId="123549065">
    <w:abstractNumId w:val="28"/>
  </w:num>
  <w:num w:numId="5" w16cid:durableId="369302995">
    <w:abstractNumId w:val="46"/>
  </w:num>
  <w:num w:numId="6" w16cid:durableId="677656743">
    <w:abstractNumId w:val="45"/>
  </w:num>
  <w:num w:numId="7" w16cid:durableId="1916816993">
    <w:abstractNumId w:val="23"/>
  </w:num>
  <w:num w:numId="8" w16cid:durableId="1460682189">
    <w:abstractNumId w:val="9"/>
  </w:num>
  <w:num w:numId="9" w16cid:durableId="8027795">
    <w:abstractNumId w:val="8"/>
  </w:num>
  <w:num w:numId="10" w16cid:durableId="1016155436">
    <w:abstractNumId w:val="35"/>
  </w:num>
  <w:num w:numId="11" w16cid:durableId="1007752605">
    <w:abstractNumId w:val="4"/>
  </w:num>
  <w:num w:numId="12" w16cid:durableId="641614731">
    <w:abstractNumId w:val="38"/>
  </w:num>
  <w:num w:numId="13" w16cid:durableId="1225725725">
    <w:abstractNumId w:val="16"/>
  </w:num>
  <w:num w:numId="14" w16cid:durableId="813451690">
    <w:abstractNumId w:val="15"/>
  </w:num>
  <w:num w:numId="15" w16cid:durableId="1865362411">
    <w:abstractNumId w:val="43"/>
  </w:num>
  <w:num w:numId="16" w16cid:durableId="1342732278">
    <w:abstractNumId w:val="27"/>
  </w:num>
  <w:num w:numId="17" w16cid:durableId="1659310861">
    <w:abstractNumId w:val="31"/>
  </w:num>
  <w:num w:numId="18" w16cid:durableId="264463418">
    <w:abstractNumId w:val="32"/>
  </w:num>
  <w:num w:numId="19" w16cid:durableId="95488398">
    <w:abstractNumId w:val="41"/>
  </w:num>
  <w:num w:numId="20" w16cid:durableId="274796426">
    <w:abstractNumId w:val="22"/>
  </w:num>
  <w:num w:numId="21" w16cid:durableId="1776441012">
    <w:abstractNumId w:val="14"/>
  </w:num>
  <w:num w:numId="22" w16cid:durableId="1065645394">
    <w:abstractNumId w:val="18"/>
  </w:num>
  <w:num w:numId="23" w16cid:durableId="741295900">
    <w:abstractNumId w:val="20"/>
  </w:num>
  <w:num w:numId="24" w16cid:durableId="1105266401">
    <w:abstractNumId w:val="29"/>
  </w:num>
  <w:num w:numId="25" w16cid:durableId="1032266998">
    <w:abstractNumId w:val="24"/>
  </w:num>
  <w:num w:numId="26" w16cid:durableId="874385061">
    <w:abstractNumId w:val="47"/>
  </w:num>
  <w:num w:numId="27" w16cid:durableId="227501507">
    <w:abstractNumId w:val="1"/>
  </w:num>
  <w:num w:numId="28" w16cid:durableId="538977585">
    <w:abstractNumId w:val="3"/>
  </w:num>
  <w:num w:numId="29" w16cid:durableId="739790570">
    <w:abstractNumId w:val="13"/>
  </w:num>
  <w:num w:numId="30" w16cid:durableId="1237742939">
    <w:abstractNumId w:val="12"/>
  </w:num>
  <w:num w:numId="31" w16cid:durableId="318390659">
    <w:abstractNumId w:val="11"/>
  </w:num>
  <w:num w:numId="32" w16cid:durableId="1794399018">
    <w:abstractNumId w:val="26"/>
  </w:num>
  <w:num w:numId="33" w16cid:durableId="739980936">
    <w:abstractNumId w:val="21"/>
  </w:num>
  <w:num w:numId="34" w16cid:durableId="326174416">
    <w:abstractNumId w:val="0"/>
  </w:num>
  <w:num w:numId="35" w16cid:durableId="587036583">
    <w:abstractNumId w:val="17"/>
  </w:num>
  <w:num w:numId="36" w16cid:durableId="633633094">
    <w:abstractNumId w:val="10"/>
  </w:num>
  <w:num w:numId="37" w16cid:durableId="2022396169">
    <w:abstractNumId w:val="36"/>
  </w:num>
  <w:num w:numId="38" w16cid:durableId="1308513179">
    <w:abstractNumId w:val="7"/>
  </w:num>
  <w:num w:numId="39" w16cid:durableId="756484776">
    <w:abstractNumId w:val="40"/>
  </w:num>
  <w:num w:numId="40" w16cid:durableId="1877503936">
    <w:abstractNumId w:val="33"/>
  </w:num>
  <w:num w:numId="41" w16cid:durableId="321201335">
    <w:abstractNumId w:val="2"/>
  </w:num>
  <w:num w:numId="42" w16cid:durableId="307981233">
    <w:abstractNumId w:val="44"/>
  </w:num>
  <w:num w:numId="43" w16cid:durableId="2130463429">
    <w:abstractNumId w:val="37"/>
  </w:num>
  <w:num w:numId="44" w16cid:durableId="1852841326">
    <w:abstractNumId w:val="48"/>
  </w:num>
  <w:num w:numId="45" w16cid:durableId="2069642049">
    <w:abstractNumId w:val="5"/>
  </w:num>
  <w:num w:numId="46" w16cid:durableId="2050716881">
    <w:abstractNumId w:val="42"/>
  </w:num>
  <w:num w:numId="47" w16cid:durableId="798837664">
    <w:abstractNumId w:val="19"/>
  </w:num>
  <w:num w:numId="48" w16cid:durableId="1790583342">
    <w:abstractNumId w:val="30"/>
  </w:num>
  <w:num w:numId="49" w16cid:durableId="12140743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C2"/>
    <w:rsid w:val="000134FF"/>
    <w:rsid w:val="0001686B"/>
    <w:rsid w:val="00026510"/>
    <w:rsid w:val="00030213"/>
    <w:rsid w:val="0003250C"/>
    <w:rsid w:val="00035107"/>
    <w:rsid w:val="00040EF9"/>
    <w:rsid w:val="0004339F"/>
    <w:rsid w:val="00044023"/>
    <w:rsid w:val="00050A1D"/>
    <w:rsid w:val="0006093A"/>
    <w:rsid w:val="00060EEA"/>
    <w:rsid w:val="00061F71"/>
    <w:rsid w:val="00070B3B"/>
    <w:rsid w:val="00076EE3"/>
    <w:rsid w:val="00092664"/>
    <w:rsid w:val="0009493D"/>
    <w:rsid w:val="00097FB2"/>
    <w:rsid w:val="000B305A"/>
    <w:rsid w:val="000C15A4"/>
    <w:rsid w:val="000C5698"/>
    <w:rsid w:val="000D0D9A"/>
    <w:rsid w:val="000D2F1B"/>
    <w:rsid w:val="000E1248"/>
    <w:rsid w:val="000F0BBD"/>
    <w:rsid w:val="000F42CE"/>
    <w:rsid w:val="00101888"/>
    <w:rsid w:val="001051B9"/>
    <w:rsid w:val="00106263"/>
    <w:rsid w:val="001200E3"/>
    <w:rsid w:val="00124F24"/>
    <w:rsid w:val="00147BC2"/>
    <w:rsid w:val="0015631F"/>
    <w:rsid w:val="001567C8"/>
    <w:rsid w:val="0016043F"/>
    <w:rsid w:val="001647B8"/>
    <w:rsid w:val="00197A9F"/>
    <w:rsid w:val="001B0DB0"/>
    <w:rsid w:val="001B22F3"/>
    <w:rsid w:val="001B3A22"/>
    <w:rsid w:val="001B4476"/>
    <w:rsid w:val="001B5CF5"/>
    <w:rsid w:val="001C7E78"/>
    <w:rsid w:val="001D1903"/>
    <w:rsid w:val="001E4EB6"/>
    <w:rsid w:val="001E51FE"/>
    <w:rsid w:val="001E5FA1"/>
    <w:rsid w:val="00203D9F"/>
    <w:rsid w:val="002118C4"/>
    <w:rsid w:val="00211E87"/>
    <w:rsid w:val="002137A6"/>
    <w:rsid w:val="002149B6"/>
    <w:rsid w:val="00215627"/>
    <w:rsid w:val="00216B2E"/>
    <w:rsid w:val="00221049"/>
    <w:rsid w:val="0022295A"/>
    <w:rsid w:val="002311E0"/>
    <w:rsid w:val="0023725B"/>
    <w:rsid w:val="00237655"/>
    <w:rsid w:val="0024243D"/>
    <w:rsid w:val="00250162"/>
    <w:rsid w:val="0025392B"/>
    <w:rsid w:val="00265D7F"/>
    <w:rsid w:val="00285299"/>
    <w:rsid w:val="00290AA6"/>
    <w:rsid w:val="002A0220"/>
    <w:rsid w:val="002A751A"/>
    <w:rsid w:val="002C0AEE"/>
    <w:rsid w:val="002D435B"/>
    <w:rsid w:val="002F59E3"/>
    <w:rsid w:val="002F6A00"/>
    <w:rsid w:val="0030081D"/>
    <w:rsid w:val="003011E0"/>
    <w:rsid w:val="00303291"/>
    <w:rsid w:val="0030665E"/>
    <w:rsid w:val="003132B3"/>
    <w:rsid w:val="0031476D"/>
    <w:rsid w:val="00322FFB"/>
    <w:rsid w:val="00327ECD"/>
    <w:rsid w:val="00337D4E"/>
    <w:rsid w:val="00341CA8"/>
    <w:rsid w:val="0036667C"/>
    <w:rsid w:val="003729F5"/>
    <w:rsid w:val="003811EF"/>
    <w:rsid w:val="00383DAA"/>
    <w:rsid w:val="003859EC"/>
    <w:rsid w:val="00391CBC"/>
    <w:rsid w:val="00391DED"/>
    <w:rsid w:val="003932EF"/>
    <w:rsid w:val="003A1535"/>
    <w:rsid w:val="003B0884"/>
    <w:rsid w:val="003C0E3A"/>
    <w:rsid w:val="003C54A6"/>
    <w:rsid w:val="003C7349"/>
    <w:rsid w:val="003E156A"/>
    <w:rsid w:val="003E5889"/>
    <w:rsid w:val="004001DB"/>
    <w:rsid w:val="0040346E"/>
    <w:rsid w:val="004106A5"/>
    <w:rsid w:val="00425417"/>
    <w:rsid w:val="00427275"/>
    <w:rsid w:val="004344A5"/>
    <w:rsid w:val="00444A2E"/>
    <w:rsid w:val="00454641"/>
    <w:rsid w:val="00456CFD"/>
    <w:rsid w:val="00461E46"/>
    <w:rsid w:val="0046309C"/>
    <w:rsid w:val="0046424A"/>
    <w:rsid w:val="00471135"/>
    <w:rsid w:val="00471496"/>
    <w:rsid w:val="00472D96"/>
    <w:rsid w:val="00480FDF"/>
    <w:rsid w:val="00485492"/>
    <w:rsid w:val="004A6052"/>
    <w:rsid w:val="004B1F98"/>
    <w:rsid w:val="004B2514"/>
    <w:rsid w:val="004C452E"/>
    <w:rsid w:val="004D3E00"/>
    <w:rsid w:val="004F231A"/>
    <w:rsid w:val="004F547F"/>
    <w:rsid w:val="004F7530"/>
    <w:rsid w:val="00504208"/>
    <w:rsid w:val="005052C3"/>
    <w:rsid w:val="005174EA"/>
    <w:rsid w:val="00533E5A"/>
    <w:rsid w:val="005408E7"/>
    <w:rsid w:val="00542069"/>
    <w:rsid w:val="00544FE5"/>
    <w:rsid w:val="005454D6"/>
    <w:rsid w:val="00556465"/>
    <w:rsid w:val="0056256E"/>
    <w:rsid w:val="00566A39"/>
    <w:rsid w:val="00571946"/>
    <w:rsid w:val="0059004D"/>
    <w:rsid w:val="00592876"/>
    <w:rsid w:val="00593084"/>
    <w:rsid w:val="00597638"/>
    <w:rsid w:val="00597D47"/>
    <w:rsid w:val="005A3C96"/>
    <w:rsid w:val="005B1CAF"/>
    <w:rsid w:val="005B49A4"/>
    <w:rsid w:val="005B74D3"/>
    <w:rsid w:val="005C24B1"/>
    <w:rsid w:val="005C3414"/>
    <w:rsid w:val="005C42DC"/>
    <w:rsid w:val="005C56F2"/>
    <w:rsid w:val="005C7D9C"/>
    <w:rsid w:val="005D07F0"/>
    <w:rsid w:val="005D32F9"/>
    <w:rsid w:val="005E461F"/>
    <w:rsid w:val="005E622B"/>
    <w:rsid w:val="005E6C55"/>
    <w:rsid w:val="00604C15"/>
    <w:rsid w:val="00611247"/>
    <w:rsid w:val="00613BA7"/>
    <w:rsid w:val="006144DD"/>
    <w:rsid w:val="00616908"/>
    <w:rsid w:val="006177E0"/>
    <w:rsid w:val="006214AA"/>
    <w:rsid w:val="00630958"/>
    <w:rsid w:val="00641F49"/>
    <w:rsid w:val="00653383"/>
    <w:rsid w:val="00657E00"/>
    <w:rsid w:val="00667ED2"/>
    <w:rsid w:val="00670728"/>
    <w:rsid w:val="006708D5"/>
    <w:rsid w:val="00676FC2"/>
    <w:rsid w:val="006813E1"/>
    <w:rsid w:val="00684982"/>
    <w:rsid w:val="0068706E"/>
    <w:rsid w:val="006A41C6"/>
    <w:rsid w:val="006A630D"/>
    <w:rsid w:val="006C4577"/>
    <w:rsid w:val="006C7B23"/>
    <w:rsid w:val="006E09E9"/>
    <w:rsid w:val="006F629E"/>
    <w:rsid w:val="0070065C"/>
    <w:rsid w:val="00702C52"/>
    <w:rsid w:val="0070705F"/>
    <w:rsid w:val="00717DF6"/>
    <w:rsid w:val="007277A5"/>
    <w:rsid w:val="00743626"/>
    <w:rsid w:val="007530F6"/>
    <w:rsid w:val="00754282"/>
    <w:rsid w:val="00755BE7"/>
    <w:rsid w:val="00762127"/>
    <w:rsid w:val="00763CAE"/>
    <w:rsid w:val="007719D2"/>
    <w:rsid w:val="00773EDF"/>
    <w:rsid w:val="00784E93"/>
    <w:rsid w:val="007C29F8"/>
    <w:rsid w:val="007C7130"/>
    <w:rsid w:val="007C7C2A"/>
    <w:rsid w:val="007F0D6E"/>
    <w:rsid w:val="007F3EF9"/>
    <w:rsid w:val="008000ED"/>
    <w:rsid w:val="00802AEB"/>
    <w:rsid w:val="008039BE"/>
    <w:rsid w:val="0080753C"/>
    <w:rsid w:val="00812E7C"/>
    <w:rsid w:val="00820E1A"/>
    <w:rsid w:val="00821C53"/>
    <w:rsid w:val="00823058"/>
    <w:rsid w:val="008432AE"/>
    <w:rsid w:val="0084405F"/>
    <w:rsid w:val="00860525"/>
    <w:rsid w:val="00864E4E"/>
    <w:rsid w:val="00873447"/>
    <w:rsid w:val="00876A33"/>
    <w:rsid w:val="008811B3"/>
    <w:rsid w:val="00883FA1"/>
    <w:rsid w:val="00886080"/>
    <w:rsid w:val="008867DE"/>
    <w:rsid w:val="00891919"/>
    <w:rsid w:val="008974E5"/>
    <w:rsid w:val="008D2758"/>
    <w:rsid w:val="008D3016"/>
    <w:rsid w:val="008E78F1"/>
    <w:rsid w:val="008F0C80"/>
    <w:rsid w:val="008F3C32"/>
    <w:rsid w:val="00902C67"/>
    <w:rsid w:val="00907698"/>
    <w:rsid w:val="00921955"/>
    <w:rsid w:val="00922670"/>
    <w:rsid w:val="0092279B"/>
    <w:rsid w:val="00924DB0"/>
    <w:rsid w:val="009432A2"/>
    <w:rsid w:val="0095338A"/>
    <w:rsid w:val="009564E4"/>
    <w:rsid w:val="009704D5"/>
    <w:rsid w:val="00974B85"/>
    <w:rsid w:val="0098104D"/>
    <w:rsid w:val="009858D8"/>
    <w:rsid w:val="0098768C"/>
    <w:rsid w:val="0099633C"/>
    <w:rsid w:val="00996B32"/>
    <w:rsid w:val="009A0F7B"/>
    <w:rsid w:val="009A1654"/>
    <w:rsid w:val="009A3504"/>
    <w:rsid w:val="009A612A"/>
    <w:rsid w:val="009A737B"/>
    <w:rsid w:val="009C0D51"/>
    <w:rsid w:val="009C3068"/>
    <w:rsid w:val="009C6280"/>
    <w:rsid w:val="009D40D9"/>
    <w:rsid w:val="009F3686"/>
    <w:rsid w:val="009F57D6"/>
    <w:rsid w:val="009F5AE3"/>
    <w:rsid w:val="00A17625"/>
    <w:rsid w:val="00A22CA2"/>
    <w:rsid w:val="00A31D4B"/>
    <w:rsid w:val="00A32A6C"/>
    <w:rsid w:val="00A349EA"/>
    <w:rsid w:val="00A45595"/>
    <w:rsid w:val="00A54520"/>
    <w:rsid w:val="00A621CA"/>
    <w:rsid w:val="00A70B7F"/>
    <w:rsid w:val="00A71198"/>
    <w:rsid w:val="00A77376"/>
    <w:rsid w:val="00A8330B"/>
    <w:rsid w:val="00A850D7"/>
    <w:rsid w:val="00A87A38"/>
    <w:rsid w:val="00A91D43"/>
    <w:rsid w:val="00A91EAB"/>
    <w:rsid w:val="00A93E8D"/>
    <w:rsid w:val="00AA4CE4"/>
    <w:rsid w:val="00AA7093"/>
    <w:rsid w:val="00AE21A7"/>
    <w:rsid w:val="00AE62E0"/>
    <w:rsid w:val="00AF7C44"/>
    <w:rsid w:val="00B03423"/>
    <w:rsid w:val="00B05143"/>
    <w:rsid w:val="00B053C1"/>
    <w:rsid w:val="00B129A0"/>
    <w:rsid w:val="00B22634"/>
    <w:rsid w:val="00B2264B"/>
    <w:rsid w:val="00B408F9"/>
    <w:rsid w:val="00B5187B"/>
    <w:rsid w:val="00B60DF1"/>
    <w:rsid w:val="00B74CAA"/>
    <w:rsid w:val="00B86ACA"/>
    <w:rsid w:val="00B908E3"/>
    <w:rsid w:val="00BA5C46"/>
    <w:rsid w:val="00BA5E9B"/>
    <w:rsid w:val="00BB4BDF"/>
    <w:rsid w:val="00BB7FF0"/>
    <w:rsid w:val="00BE272E"/>
    <w:rsid w:val="00BE3A03"/>
    <w:rsid w:val="00BF2BCB"/>
    <w:rsid w:val="00BF5BD7"/>
    <w:rsid w:val="00C018CF"/>
    <w:rsid w:val="00C07B10"/>
    <w:rsid w:val="00C3606B"/>
    <w:rsid w:val="00C524BF"/>
    <w:rsid w:val="00C53050"/>
    <w:rsid w:val="00C559C1"/>
    <w:rsid w:val="00C55CCC"/>
    <w:rsid w:val="00C560C0"/>
    <w:rsid w:val="00C57D52"/>
    <w:rsid w:val="00C6005B"/>
    <w:rsid w:val="00C73B04"/>
    <w:rsid w:val="00C75E4D"/>
    <w:rsid w:val="00C76A87"/>
    <w:rsid w:val="00C77CBD"/>
    <w:rsid w:val="00C84E02"/>
    <w:rsid w:val="00C937AB"/>
    <w:rsid w:val="00CA540E"/>
    <w:rsid w:val="00CA5D91"/>
    <w:rsid w:val="00CA5F96"/>
    <w:rsid w:val="00CB0A89"/>
    <w:rsid w:val="00CB2F7C"/>
    <w:rsid w:val="00CB7970"/>
    <w:rsid w:val="00CC18E4"/>
    <w:rsid w:val="00CC74DD"/>
    <w:rsid w:val="00CE52D2"/>
    <w:rsid w:val="00CE6D78"/>
    <w:rsid w:val="00CF26C8"/>
    <w:rsid w:val="00D006F9"/>
    <w:rsid w:val="00D00DDB"/>
    <w:rsid w:val="00D10D26"/>
    <w:rsid w:val="00D10F76"/>
    <w:rsid w:val="00D138FA"/>
    <w:rsid w:val="00D15902"/>
    <w:rsid w:val="00D27BF6"/>
    <w:rsid w:val="00D27E94"/>
    <w:rsid w:val="00D32F72"/>
    <w:rsid w:val="00D45126"/>
    <w:rsid w:val="00D46CAB"/>
    <w:rsid w:val="00D46D84"/>
    <w:rsid w:val="00D52050"/>
    <w:rsid w:val="00D54A99"/>
    <w:rsid w:val="00D66EDC"/>
    <w:rsid w:val="00D722DD"/>
    <w:rsid w:val="00D93FC5"/>
    <w:rsid w:val="00DA3698"/>
    <w:rsid w:val="00DB5828"/>
    <w:rsid w:val="00DC3B07"/>
    <w:rsid w:val="00DC60CA"/>
    <w:rsid w:val="00DD30CF"/>
    <w:rsid w:val="00DD7C67"/>
    <w:rsid w:val="00DE0A11"/>
    <w:rsid w:val="00DF0D5D"/>
    <w:rsid w:val="00DF1E25"/>
    <w:rsid w:val="00DF55B2"/>
    <w:rsid w:val="00DF7363"/>
    <w:rsid w:val="00E00A61"/>
    <w:rsid w:val="00E012A5"/>
    <w:rsid w:val="00E05268"/>
    <w:rsid w:val="00E17803"/>
    <w:rsid w:val="00E20671"/>
    <w:rsid w:val="00E2096D"/>
    <w:rsid w:val="00E22DDA"/>
    <w:rsid w:val="00E275F1"/>
    <w:rsid w:val="00E302A9"/>
    <w:rsid w:val="00E32610"/>
    <w:rsid w:val="00E3520C"/>
    <w:rsid w:val="00E36939"/>
    <w:rsid w:val="00E37C72"/>
    <w:rsid w:val="00E4524C"/>
    <w:rsid w:val="00E734F7"/>
    <w:rsid w:val="00E76BA4"/>
    <w:rsid w:val="00E77DAF"/>
    <w:rsid w:val="00E822BE"/>
    <w:rsid w:val="00E82F87"/>
    <w:rsid w:val="00E85485"/>
    <w:rsid w:val="00E90922"/>
    <w:rsid w:val="00E94178"/>
    <w:rsid w:val="00EA1678"/>
    <w:rsid w:val="00EB23DC"/>
    <w:rsid w:val="00EB27EB"/>
    <w:rsid w:val="00EB28B2"/>
    <w:rsid w:val="00EC4D72"/>
    <w:rsid w:val="00EC6B14"/>
    <w:rsid w:val="00ED24D1"/>
    <w:rsid w:val="00EF1252"/>
    <w:rsid w:val="00EF72D5"/>
    <w:rsid w:val="00F0044C"/>
    <w:rsid w:val="00F01AE2"/>
    <w:rsid w:val="00F04CAD"/>
    <w:rsid w:val="00F10357"/>
    <w:rsid w:val="00F12AB0"/>
    <w:rsid w:val="00F13F89"/>
    <w:rsid w:val="00F155BA"/>
    <w:rsid w:val="00F21D78"/>
    <w:rsid w:val="00F24694"/>
    <w:rsid w:val="00F256BF"/>
    <w:rsid w:val="00F36231"/>
    <w:rsid w:val="00F40E4C"/>
    <w:rsid w:val="00F440AE"/>
    <w:rsid w:val="00F45878"/>
    <w:rsid w:val="00F50C67"/>
    <w:rsid w:val="00F5624F"/>
    <w:rsid w:val="00F622E0"/>
    <w:rsid w:val="00F713ED"/>
    <w:rsid w:val="00F74E20"/>
    <w:rsid w:val="00F913E4"/>
    <w:rsid w:val="00FA468C"/>
    <w:rsid w:val="00FA5170"/>
    <w:rsid w:val="00FA57E4"/>
    <w:rsid w:val="00FB468B"/>
    <w:rsid w:val="00FB6494"/>
    <w:rsid w:val="00FC2C07"/>
    <w:rsid w:val="00FC3E06"/>
    <w:rsid w:val="00FD49C2"/>
    <w:rsid w:val="00FD7790"/>
    <w:rsid w:val="00FE0E49"/>
    <w:rsid w:val="00FF2158"/>
    <w:rsid w:val="00FF6A82"/>
    <w:rsid w:val="4624205C"/>
    <w:rsid w:val="4AB20E99"/>
    <w:rsid w:val="4E6C4679"/>
    <w:rsid w:val="52309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C463"/>
  <w15:docId w15:val="{75641584-3687-4AD9-B592-B0D1E44B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Revision">
    <w:name w:val="Revision"/>
    <w:hidden/>
    <w:uiPriority w:val="99"/>
    <w:semiHidden/>
    <w:rsid w:val="002311E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riffith\Downloads\CCHEAgenda%20Item%20SB24-164%20GE%20Council%20Recommend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2.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4.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docProps/app.xml><?xml version="1.0" encoding="utf-8"?>
<Properties xmlns="http://schemas.openxmlformats.org/officeDocument/2006/extended-properties" xmlns:vt="http://schemas.openxmlformats.org/officeDocument/2006/docPropsVTypes">
  <Template>CCHEAgenda Item SB24-164 GE Council Recommendations</Template>
  <TotalTime>8</TotalTime>
  <Pages>3</Pages>
  <Words>491</Words>
  <Characters>2805</Characters>
  <Application>Microsoft Office Word</Application>
  <DocSecurity>0</DocSecurity>
  <Lines>23</Lines>
  <Paragraphs>6</Paragraphs>
  <ScaleCrop>false</ScaleCrop>
  <Company>CCHE</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Brad Griffith</dc:creator>
  <cp:lastModifiedBy>Brad Griffith</cp:lastModifiedBy>
  <cp:revision>5</cp:revision>
  <cp:lastPrinted>2015-07-22T18:17:00Z</cp:lastPrinted>
  <dcterms:created xsi:type="dcterms:W3CDTF">2025-08-04T18:52:00Z</dcterms:created>
  <dcterms:modified xsi:type="dcterms:W3CDTF">2025-08-19T19:40:00Z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